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b/>
          <w:bCs/>
          <w:color w:val="242424"/>
          <w:sz w:val="28"/>
          <w:szCs w:val="28"/>
          <w:lang w:eastAsia="ru-RU"/>
        </w:rPr>
        <w:t>Статья 9 Федерального закона № 25-ФЗ «О муниципальной службе в Российской Федерации» - «Основные квалификационные требования для замещения должностей муниципальной службы»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3. В случае</w:t>
      </w:r>
      <w:proofErr w:type="gramStart"/>
      <w:r w:rsidRPr="00E021BE">
        <w:rPr>
          <w:rFonts w:ascii="Times New Roman" w:eastAsia="Times New Roman" w:hAnsi="Times New Roman" w:cs="Times New Roman"/>
          <w:color w:val="242424"/>
          <w:sz w:val="28"/>
          <w:szCs w:val="28"/>
          <w:lang w:eastAsia="ru-RU"/>
        </w:rPr>
        <w:t>,</w:t>
      </w:r>
      <w:proofErr w:type="gramEnd"/>
      <w:r w:rsidRPr="00E021BE">
        <w:rPr>
          <w:rFonts w:ascii="Times New Roman" w:eastAsia="Times New Roman" w:hAnsi="Times New Roman" w:cs="Times New Roman"/>
          <w:color w:val="242424"/>
          <w:sz w:val="28"/>
          <w:szCs w:val="28"/>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w:t>
      </w:r>
      <w:r w:rsidRPr="00E021BE">
        <w:rPr>
          <w:rFonts w:ascii="Times New Roman" w:eastAsia="Times New Roman" w:hAnsi="Times New Roman" w:cs="Times New Roman"/>
          <w:color w:val="242424"/>
          <w:sz w:val="28"/>
          <w:szCs w:val="28"/>
          <w:lang w:eastAsia="ru-RU"/>
        </w:rPr>
        <w:lastRenderedPageBreak/>
        <w:t>дополнительные требования к кандидатам на должность главы местной администрации.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proofErr w:type="gramStart"/>
      <w:r w:rsidRPr="00E021BE">
        <w:rPr>
          <w:rFonts w:ascii="Times New Roman" w:eastAsia="Times New Roman" w:hAnsi="Times New Roman" w:cs="Times New Roman"/>
          <w:b/>
          <w:bCs/>
          <w:color w:val="242424"/>
          <w:sz w:val="28"/>
          <w:szCs w:val="28"/>
          <w:lang w:eastAsia="ru-RU"/>
        </w:rPr>
        <w:t>Статья 4 Закона Республики Коми от 21.12.2007 N 133-РЗ (ред. от 27.09.2019) "О некоторых вопросах муниципальной службы в Республике Коми" (принят ГС РК 11.12.2007) (вместе с "Реестром должностей муниципальной службы в Республике Коми", "Типовым положением о проведении аттестации муниципальных служащих в Республике Коми", "Положением о порядке присвоения и сохранения классных чинов муниципальным служащим, замещающим должности муниципальной службы в Республике Коми</w:t>
      </w:r>
      <w:proofErr w:type="gramEnd"/>
      <w:r w:rsidRPr="00E021BE">
        <w:rPr>
          <w:rFonts w:ascii="Times New Roman" w:eastAsia="Times New Roman" w:hAnsi="Times New Roman" w:cs="Times New Roman"/>
          <w:b/>
          <w:bCs/>
          <w:color w:val="242424"/>
          <w:sz w:val="28"/>
          <w:szCs w:val="28"/>
          <w:lang w:eastAsia="ru-RU"/>
        </w:rPr>
        <w:t>", "</w:t>
      </w:r>
      <w:proofErr w:type="gramStart"/>
      <w:r w:rsidRPr="00E021BE">
        <w:rPr>
          <w:rFonts w:ascii="Times New Roman" w:eastAsia="Times New Roman" w:hAnsi="Times New Roman" w:cs="Times New Roman"/>
          <w:b/>
          <w:bCs/>
          <w:color w:val="242424"/>
          <w:sz w:val="28"/>
          <w:szCs w:val="28"/>
          <w:lang w:eastAsia="ru-RU"/>
        </w:rPr>
        <w:t>Положением о порядке и сроках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"Порядком заключения договора о целевом обучении с обязательством последующего прохождения муниципальной службы в Республике Коми")</w:t>
      </w:r>
      <w:proofErr w:type="gramEnd"/>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1. Типовые квалификационные требования для замещения должностей муниципальной службы определены настоящим Законом в целях установления на их основе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которые устанавливаются муниципальными правовыми актами.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2.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1) по высшим должностям муниципальной службы: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lastRenderedPageBreak/>
        <w:t>наличие высшего образования, не менее двух лет стажа муниципальной службы или стажа работы по специальности, направлению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2) по главным должностям муниципальной службы: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наличие высшего образования, не менее двух лет стажа муниципальной службы или стажа работы по специальности, направлению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2-1) по ведущим должностям муниципальной службы: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наличие высшего образования без предъявления требований к стажу работы.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3) по старшим должностям муниципальной службы: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наличие высшего образования либо наличие среднего профессионального образования без предъявления требований к стажу работы;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4) по младшим должностям муниципальной службы - наличие среднего профессионального образования без предъявления требований к стажу работы.</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 xml:space="preserve">2(2). </w:t>
      </w:r>
      <w:proofErr w:type="gramStart"/>
      <w:r w:rsidRPr="00E021BE">
        <w:rPr>
          <w:rFonts w:ascii="Times New Roman" w:eastAsia="Times New Roman" w:hAnsi="Times New Roman" w:cs="Times New Roman"/>
          <w:color w:val="242424"/>
          <w:sz w:val="28"/>
          <w:szCs w:val="28"/>
          <w:lang w:eastAsia="ru-RU"/>
        </w:rP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муниципальных районов для замещения главных должностей муниципальной службы - не менее одного года стажа муниципальной службы или стажа работы по специальности, направлению</w:t>
      </w:r>
      <w:proofErr w:type="gramEnd"/>
      <w:r w:rsidRPr="00E021BE">
        <w:rPr>
          <w:rFonts w:ascii="Times New Roman" w:eastAsia="Times New Roman" w:hAnsi="Times New Roman" w:cs="Times New Roman"/>
          <w:color w:val="242424"/>
          <w:sz w:val="28"/>
          <w:szCs w:val="28"/>
          <w:lang w:eastAsia="ru-RU"/>
        </w:rPr>
        <w:t xml:space="preserve"> подготовки.</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color w:val="242424"/>
          <w:sz w:val="28"/>
          <w:szCs w:val="28"/>
          <w:lang w:eastAsia="ru-RU"/>
        </w:rPr>
        <w:t xml:space="preserve">4. </w:t>
      </w:r>
      <w:proofErr w:type="gramStart"/>
      <w:r w:rsidRPr="00E021BE">
        <w:rPr>
          <w:rFonts w:ascii="Times New Roman" w:eastAsia="Times New Roman" w:hAnsi="Times New Roman" w:cs="Times New Roman"/>
          <w:color w:val="242424"/>
          <w:sz w:val="28"/>
          <w:szCs w:val="28"/>
          <w:lang w:eastAsia="ru-RU"/>
        </w:rPr>
        <w:t xml:space="preserve">К кандидатам на должность главы (руководителя) местной администрации муниципального образования муниципального района (городского округа), назначаемым на должность по контракту, устанавливаются следующие дополнительные требования: наличие стажа работы на государственных должностях либо на должностях высших, главных групп должностей государственной гражданской службы, на муниципальных должностях либо на должностях высших, главных групп </w:t>
      </w:r>
      <w:r w:rsidRPr="00E021BE">
        <w:rPr>
          <w:rFonts w:ascii="Times New Roman" w:eastAsia="Times New Roman" w:hAnsi="Times New Roman" w:cs="Times New Roman"/>
          <w:color w:val="242424"/>
          <w:sz w:val="28"/>
          <w:szCs w:val="28"/>
          <w:lang w:eastAsia="ru-RU"/>
        </w:rPr>
        <w:lastRenderedPageBreak/>
        <w:t>должностей муниципальной службы не менее двух лет или наличие стажа работы на</w:t>
      </w:r>
      <w:proofErr w:type="gramEnd"/>
      <w:r w:rsidRPr="00E021BE">
        <w:rPr>
          <w:rFonts w:ascii="Times New Roman" w:eastAsia="Times New Roman" w:hAnsi="Times New Roman" w:cs="Times New Roman"/>
          <w:color w:val="242424"/>
          <w:sz w:val="28"/>
          <w:szCs w:val="28"/>
          <w:lang w:eastAsia="ru-RU"/>
        </w:rPr>
        <w:t xml:space="preserve"> руководящих </w:t>
      </w:r>
      <w:proofErr w:type="gramStart"/>
      <w:r w:rsidRPr="00E021BE">
        <w:rPr>
          <w:rFonts w:ascii="Times New Roman" w:eastAsia="Times New Roman" w:hAnsi="Times New Roman" w:cs="Times New Roman"/>
          <w:color w:val="242424"/>
          <w:sz w:val="28"/>
          <w:szCs w:val="28"/>
          <w:lang w:eastAsia="ru-RU"/>
        </w:rPr>
        <w:t>должностях</w:t>
      </w:r>
      <w:proofErr w:type="gramEnd"/>
      <w:r w:rsidRPr="00E021BE">
        <w:rPr>
          <w:rFonts w:ascii="Times New Roman" w:eastAsia="Times New Roman" w:hAnsi="Times New Roman" w:cs="Times New Roman"/>
          <w:color w:val="242424"/>
          <w:sz w:val="28"/>
          <w:szCs w:val="28"/>
          <w:lang w:eastAsia="ru-RU"/>
        </w:rPr>
        <w:t xml:space="preserve"> не менее трех лет.</w:t>
      </w:r>
    </w:p>
    <w:p w:rsidR="00E021BE" w:rsidRPr="00E021BE" w:rsidRDefault="00E021BE" w:rsidP="00E021BE">
      <w:pPr>
        <w:spacing w:after="0" w:line="360" w:lineRule="auto"/>
        <w:ind w:firstLine="709"/>
        <w:jc w:val="both"/>
        <w:rPr>
          <w:rFonts w:ascii="Times New Roman" w:eastAsia="Times New Roman" w:hAnsi="Times New Roman" w:cs="Times New Roman"/>
          <w:color w:val="242424"/>
          <w:sz w:val="28"/>
          <w:szCs w:val="28"/>
          <w:lang w:eastAsia="ru-RU"/>
        </w:rPr>
      </w:pPr>
      <w:r w:rsidRPr="00E021BE">
        <w:rPr>
          <w:rFonts w:ascii="Times New Roman" w:eastAsia="Times New Roman" w:hAnsi="Times New Roman" w:cs="Times New Roman"/>
          <w:b/>
          <w:bCs/>
          <w:color w:val="242424"/>
          <w:sz w:val="28"/>
          <w:szCs w:val="28"/>
          <w:lang w:eastAsia="ru-RU"/>
        </w:rPr>
        <w:t>Статья 3 решения совета муниципального района «Сосногорск» от 25.02.2009 № XVIII-199 «О некоторых вопросах муниципальной службы в муниципальном образовании муниципального района «Сосногорск» (Приложение N 2 к Положению о муниципальной службе муниципального образования муниципального района "Сосногорск")</w:t>
      </w:r>
    </w:p>
    <w:tbl>
      <w:tblPr>
        <w:tblW w:w="10489" w:type="dxa"/>
        <w:tblInd w:w="-1059" w:type="dxa"/>
        <w:tblBorders>
          <w:top w:val="double" w:sz="6" w:space="0" w:color="auto"/>
          <w:left w:val="double" w:sz="6" w:space="0" w:color="auto"/>
          <w:bottom w:val="double" w:sz="6" w:space="0" w:color="auto"/>
          <w:right w:val="double" w:sz="6" w:space="0" w:color="auto"/>
        </w:tblBorders>
        <w:tblCellMar>
          <w:left w:w="0" w:type="dxa"/>
          <w:right w:w="0" w:type="dxa"/>
        </w:tblCellMar>
        <w:tblLook w:val="04A0" w:firstRow="1" w:lastRow="0" w:firstColumn="1" w:lastColumn="0" w:noHBand="0" w:noVBand="1"/>
      </w:tblPr>
      <w:tblGrid>
        <w:gridCol w:w="1661"/>
        <w:gridCol w:w="8828"/>
      </w:tblGrid>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Группа должностей муниципальной службы</w:t>
            </w:r>
          </w:p>
        </w:tc>
        <w:tc>
          <w:tcPr>
            <w:tcW w:w="9378"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Квалификационные требования к уровню профессионального образования, стажу муниципальной службы или стажу работы по специальности</w:t>
            </w:r>
          </w:p>
        </w:tc>
      </w:tr>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вы</w:t>
            </w:r>
            <w:bookmarkStart w:id="0" w:name="_GoBack"/>
            <w:bookmarkEnd w:id="0"/>
            <w:r w:rsidRPr="00E021BE">
              <w:rPr>
                <w:lang w:eastAsia="ru-RU"/>
              </w:rPr>
              <w:t>сшая</w:t>
            </w:r>
          </w:p>
        </w:tc>
        <w:tc>
          <w:tcPr>
            <w:tcW w:w="9378"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наличие высшего образования, не менее двух лет стажа муниципальной службы или стажа работы по специальности, направлению подготовки</w:t>
            </w:r>
          </w:p>
        </w:tc>
      </w:tr>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главная</w:t>
            </w:r>
          </w:p>
        </w:tc>
        <w:tc>
          <w:tcPr>
            <w:tcW w:w="9378"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наличие высшего образования, не менее двух лет стажа муниципальной службы или стажа работы по специальности, направлению подготовки;</w:t>
            </w:r>
          </w:p>
          <w:p w:rsidR="00E021BE" w:rsidRPr="00E021BE" w:rsidRDefault="00E021BE" w:rsidP="00E021BE">
            <w:pPr>
              <w:rPr>
                <w:lang w:eastAsia="ru-RU"/>
              </w:rPr>
            </w:pPr>
            <w:proofErr w:type="gramStart"/>
            <w:r w:rsidRPr="00E021BE">
              <w:rPr>
                <w:lang w:eastAsia="ru-RU"/>
              </w:rPr>
              <w:t>Для лиц, имеющих дипломы специалиста или магистра с отличием, в течение трех лет со дня выдачи диплома устанавливаются следующие типовые квалификационные требования к стажу муниципальной службы или стажу работы по специальности, направлению подготовки при трудоустройстве в органы местного самоуправления муниципального района - не менее одного года стажа муниципальной службы или стажа работы по специальности, направлению подготовки</w:t>
            </w:r>
            <w:proofErr w:type="gramEnd"/>
          </w:p>
        </w:tc>
      </w:tr>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ведущая</w:t>
            </w:r>
          </w:p>
        </w:tc>
        <w:tc>
          <w:tcPr>
            <w:tcW w:w="9378"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наличие высшего образования без предъявления требований к стажу работы</w:t>
            </w:r>
          </w:p>
        </w:tc>
      </w:tr>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старшая</w:t>
            </w:r>
          </w:p>
        </w:tc>
        <w:tc>
          <w:tcPr>
            <w:tcW w:w="9378" w:type="dxa"/>
            <w:tcBorders>
              <w:top w:val="double" w:sz="6" w:space="0" w:color="auto"/>
              <w:left w:val="double" w:sz="6" w:space="0" w:color="auto"/>
              <w:bottom w:val="double" w:sz="6" w:space="0" w:color="auto"/>
              <w:right w:val="double" w:sz="6" w:space="0" w:color="auto"/>
            </w:tcBorders>
            <w:shd w:val="clear" w:color="auto" w:fill="auto"/>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наличие высшего образования либо наличие среднего профессионального образования без предъявления требований к стажу работы</w:t>
            </w:r>
          </w:p>
        </w:tc>
      </w:tr>
      <w:tr w:rsidR="00E021BE" w:rsidRPr="00E021BE" w:rsidTr="00E021BE">
        <w:tc>
          <w:tcPr>
            <w:tcW w:w="1111"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младшая</w:t>
            </w:r>
          </w:p>
        </w:tc>
        <w:tc>
          <w:tcPr>
            <w:tcW w:w="9378" w:type="dxa"/>
            <w:tcBorders>
              <w:top w:val="double" w:sz="6" w:space="0" w:color="auto"/>
              <w:left w:val="double" w:sz="6" w:space="0" w:color="auto"/>
              <w:bottom w:val="double" w:sz="6" w:space="0" w:color="auto"/>
              <w:right w:val="double" w:sz="6" w:space="0" w:color="auto"/>
            </w:tcBorders>
            <w:shd w:val="clear" w:color="auto" w:fill="F2FAFE"/>
            <w:tcMar>
              <w:top w:w="150" w:type="dxa"/>
              <w:left w:w="75" w:type="dxa"/>
              <w:bottom w:w="150" w:type="dxa"/>
              <w:right w:w="75" w:type="dxa"/>
            </w:tcMar>
            <w:vAlign w:val="center"/>
            <w:hideMark/>
          </w:tcPr>
          <w:p w:rsidR="00E021BE" w:rsidRPr="00E021BE" w:rsidRDefault="00E021BE" w:rsidP="00E021BE">
            <w:pPr>
              <w:rPr>
                <w:lang w:eastAsia="ru-RU"/>
              </w:rPr>
            </w:pPr>
            <w:r w:rsidRPr="00E021BE">
              <w:rPr>
                <w:lang w:eastAsia="ru-RU"/>
              </w:rPr>
              <w:t>наличие среднего профессионального образования без предъявления требований к стажу работы</w:t>
            </w:r>
          </w:p>
        </w:tc>
      </w:tr>
    </w:tbl>
    <w:p w:rsidR="004D0AEB" w:rsidRDefault="004D0AEB" w:rsidP="00E021BE">
      <w:pPr>
        <w:spacing w:after="0"/>
        <w:jc w:val="both"/>
      </w:pPr>
    </w:p>
    <w:sectPr w:rsidR="004D0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C4"/>
    <w:rsid w:val="004D0AEB"/>
    <w:rsid w:val="009E5FC4"/>
    <w:rsid w:val="00E02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1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1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1021</Words>
  <Characters>5821</Characters>
  <Application>Microsoft Office Word</Application>
  <DocSecurity>0</DocSecurity>
  <Lines>48</Lines>
  <Paragraphs>13</Paragraphs>
  <ScaleCrop>false</ScaleCrop>
  <Company>SPecialiST RePack</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GIS-GMP</dc:creator>
  <cp:keywords/>
  <dc:description/>
  <cp:lastModifiedBy>GIS-GMP</cp:lastModifiedBy>
  <cp:revision>2</cp:revision>
  <dcterms:created xsi:type="dcterms:W3CDTF">2022-12-01T09:56:00Z</dcterms:created>
  <dcterms:modified xsi:type="dcterms:W3CDTF">2022-12-01T09:58:00Z</dcterms:modified>
</cp:coreProperties>
</file>